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3D6F" w14:textId="77777777" w:rsidR="008D7638" w:rsidRDefault="008D7638" w:rsidP="00392178">
      <w:pPr>
        <w:spacing w:after="0" w:line="240" w:lineRule="atLeast"/>
        <w:ind w:left="709"/>
        <w:jc w:val="both"/>
        <w:rPr>
          <w:rFonts w:ascii="Arial" w:eastAsia="Times New Roman" w:hAnsi="Arial" w:cs="Arial"/>
          <w:lang w:val="fr-BE" w:eastAsia="en-GB"/>
        </w:rPr>
      </w:pPr>
      <w:bookmarkStart w:id="0" w:name="_GoBack"/>
      <w:bookmarkEnd w:id="0"/>
    </w:p>
    <w:p w14:paraId="793AA05D" w14:textId="77777777" w:rsidR="00392178" w:rsidRPr="00AF144C" w:rsidRDefault="00392178" w:rsidP="008D7638">
      <w:pPr>
        <w:spacing w:after="0" w:line="240" w:lineRule="atLeast"/>
        <w:jc w:val="both"/>
        <w:rPr>
          <w:rFonts w:asciiTheme="minorHAnsi" w:eastAsia="Times New Roman" w:hAnsiTheme="minorHAnsi" w:cstheme="minorHAnsi"/>
          <w:sz w:val="24"/>
          <w:szCs w:val="24"/>
          <w:lang w:val="en-US" w:eastAsia="en-GB"/>
        </w:rPr>
      </w:pPr>
      <w:r w:rsidRPr="00113AF2">
        <w:rPr>
          <w:rFonts w:asciiTheme="minorHAnsi" w:eastAsia="Times New Roman" w:hAnsiTheme="minorHAnsi" w:cstheme="minorHAnsi"/>
          <w:sz w:val="24"/>
          <w:szCs w:val="24"/>
          <w:lang w:val="en" w:eastAsia="en-GB"/>
        </w:rPr>
        <w:t xml:space="preserve">An employer can use a </w:t>
      </w:r>
      <w:r w:rsidRPr="00113AF2">
        <w:rPr>
          <w:rFonts w:asciiTheme="minorHAnsi" w:eastAsia="Times New Roman" w:hAnsiTheme="minorHAnsi" w:cstheme="minorHAnsi"/>
          <w:b/>
          <w:sz w:val="24"/>
          <w:szCs w:val="24"/>
          <w:lang w:val="en" w:eastAsia="en-GB"/>
        </w:rPr>
        <w:t>certified social secretariat</w:t>
      </w:r>
      <w:r w:rsidRPr="00113AF2">
        <w:rPr>
          <w:rFonts w:asciiTheme="minorHAnsi" w:eastAsia="Times New Roman" w:hAnsiTheme="minorHAnsi" w:cstheme="minorHAnsi"/>
          <w:sz w:val="24"/>
          <w:szCs w:val="24"/>
          <w:lang w:val="en" w:eastAsia="en-GB"/>
        </w:rPr>
        <w:t xml:space="preserve"> or a </w:t>
      </w:r>
      <w:r w:rsidRPr="00113AF2">
        <w:rPr>
          <w:rFonts w:asciiTheme="minorHAnsi" w:eastAsia="Times New Roman" w:hAnsiTheme="minorHAnsi" w:cstheme="minorHAnsi"/>
          <w:b/>
          <w:sz w:val="24"/>
          <w:szCs w:val="24"/>
          <w:lang w:val="en" w:eastAsia="en-GB"/>
        </w:rPr>
        <w:t>social service provider</w:t>
      </w:r>
      <w:r w:rsidRPr="00113AF2">
        <w:rPr>
          <w:rFonts w:asciiTheme="minorHAnsi" w:eastAsia="Times New Roman" w:hAnsiTheme="minorHAnsi" w:cstheme="minorHAnsi"/>
          <w:sz w:val="24"/>
          <w:szCs w:val="24"/>
          <w:lang w:val="en" w:eastAsia="en-GB"/>
        </w:rPr>
        <w:t xml:space="preserve"> to have his/her social obligations fulfilled, including those towards the National Social Security Office (NSSO).</w:t>
      </w:r>
    </w:p>
    <w:p w14:paraId="59271635" w14:textId="77777777" w:rsidR="00392178" w:rsidRPr="00AF144C" w:rsidRDefault="00392178" w:rsidP="008D7638">
      <w:pPr>
        <w:spacing w:after="0" w:line="240" w:lineRule="atLeast"/>
        <w:jc w:val="both"/>
        <w:rPr>
          <w:rFonts w:asciiTheme="minorHAnsi" w:eastAsia="Times New Roman" w:hAnsiTheme="minorHAnsi" w:cstheme="minorHAnsi"/>
          <w:i/>
          <w:sz w:val="24"/>
          <w:szCs w:val="24"/>
          <w:lang w:val="en-US" w:eastAsia="en-GB"/>
        </w:rPr>
      </w:pPr>
    </w:p>
    <w:p w14:paraId="4B8BC3FF" w14:textId="77777777" w:rsidR="008D7638" w:rsidRPr="00AF144C" w:rsidRDefault="008D7638" w:rsidP="008D7638">
      <w:pPr>
        <w:spacing w:after="0" w:line="240" w:lineRule="atLeast"/>
        <w:jc w:val="both"/>
        <w:rPr>
          <w:rFonts w:asciiTheme="minorHAnsi" w:eastAsia="Times New Roman" w:hAnsiTheme="minorHAnsi" w:cstheme="minorHAnsi"/>
          <w:i/>
          <w:sz w:val="24"/>
          <w:szCs w:val="24"/>
          <w:lang w:val="en-US" w:eastAsia="en-GB"/>
        </w:rPr>
      </w:pPr>
      <w:r w:rsidRPr="00113AF2">
        <w:rPr>
          <w:rFonts w:asciiTheme="minorHAnsi" w:eastAsia="Times New Roman" w:hAnsiTheme="minorHAnsi" w:cstheme="minorHAnsi"/>
          <w:i/>
          <w:sz w:val="24"/>
          <w:szCs w:val="24"/>
          <w:lang w:val="en" w:eastAsia="en-GB"/>
        </w:rPr>
        <w:t>Concepts</w:t>
      </w:r>
    </w:p>
    <w:p w14:paraId="4BEAF82F" w14:textId="77777777" w:rsidR="008D7638" w:rsidRPr="00AF144C" w:rsidRDefault="008D7638" w:rsidP="008D7638">
      <w:pPr>
        <w:spacing w:after="0" w:line="240" w:lineRule="atLeast"/>
        <w:jc w:val="both"/>
        <w:rPr>
          <w:rFonts w:asciiTheme="minorHAnsi" w:eastAsia="Times New Roman" w:hAnsiTheme="minorHAnsi" w:cstheme="minorHAnsi"/>
          <w:sz w:val="24"/>
          <w:szCs w:val="24"/>
          <w:lang w:val="en-US" w:eastAsia="en-GB"/>
        </w:rPr>
      </w:pPr>
    </w:p>
    <w:p w14:paraId="03859B49" w14:textId="076A9B3E" w:rsidR="00392178" w:rsidRPr="00AF144C" w:rsidRDefault="00392178" w:rsidP="008D7638">
      <w:pPr>
        <w:spacing w:after="0" w:line="240" w:lineRule="atLeast"/>
        <w:jc w:val="both"/>
        <w:rPr>
          <w:rFonts w:asciiTheme="minorHAnsi" w:eastAsia="Times New Roman" w:hAnsiTheme="minorHAnsi" w:cstheme="minorHAnsi"/>
          <w:bCs/>
          <w:sz w:val="24"/>
          <w:szCs w:val="24"/>
          <w:highlight w:val="yellow"/>
          <w:lang w:val="en-US" w:eastAsia="en-GB"/>
        </w:rPr>
      </w:pPr>
      <w:r w:rsidRPr="00113AF2">
        <w:rPr>
          <w:rFonts w:asciiTheme="minorHAnsi" w:eastAsia="Times New Roman" w:hAnsiTheme="minorHAnsi" w:cstheme="minorHAnsi"/>
          <w:sz w:val="24"/>
          <w:szCs w:val="24"/>
          <w:lang w:val="en" w:eastAsia="en-GB"/>
        </w:rPr>
        <w:t xml:space="preserve">Both service providers and social secretariats are representatives of the employer who deal with the administrative formalities towards the social security institutions on behalf of the employer. They must also provide the employer with the necessary information to </w:t>
      </w:r>
      <w:r w:rsidR="00305E60">
        <w:rPr>
          <w:rFonts w:asciiTheme="minorHAnsi" w:eastAsia="Times New Roman" w:hAnsiTheme="minorHAnsi" w:cstheme="minorHAnsi"/>
          <w:sz w:val="24"/>
          <w:szCs w:val="24"/>
          <w:lang w:val="en" w:eastAsia="en-GB"/>
        </w:rPr>
        <w:t>fulfil</w:t>
      </w:r>
      <w:r w:rsidRPr="00113AF2">
        <w:rPr>
          <w:rFonts w:asciiTheme="minorHAnsi" w:eastAsia="Times New Roman" w:hAnsiTheme="minorHAnsi" w:cstheme="minorHAnsi"/>
          <w:sz w:val="24"/>
          <w:szCs w:val="24"/>
          <w:lang w:val="en" w:eastAsia="en-GB"/>
        </w:rPr>
        <w:t xml:space="preserve"> his/her obligations. </w:t>
      </w:r>
    </w:p>
    <w:p w14:paraId="36ECF2B0" w14:textId="77777777" w:rsidR="00BC6BFF" w:rsidRPr="00AF144C" w:rsidRDefault="00BC6BFF" w:rsidP="008D7638">
      <w:pPr>
        <w:spacing w:after="0" w:line="240" w:lineRule="atLeast"/>
        <w:jc w:val="both"/>
        <w:rPr>
          <w:rFonts w:asciiTheme="minorHAnsi" w:eastAsia="Times New Roman" w:hAnsiTheme="minorHAnsi" w:cstheme="minorHAnsi"/>
          <w:bCs/>
          <w:sz w:val="24"/>
          <w:szCs w:val="24"/>
          <w:lang w:val="en-US" w:eastAsia="en-GB"/>
        </w:rPr>
      </w:pPr>
    </w:p>
    <w:p w14:paraId="37A2EE33" w14:textId="1FB2B29E" w:rsidR="00392178" w:rsidRPr="00AF144C" w:rsidRDefault="00392178" w:rsidP="008D7638">
      <w:pPr>
        <w:spacing w:after="0" w:line="240" w:lineRule="atLeast"/>
        <w:jc w:val="both"/>
        <w:rPr>
          <w:rFonts w:asciiTheme="minorHAnsi" w:eastAsia="Times New Roman" w:hAnsiTheme="minorHAnsi" w:cstheme="minorHAnsi"/>
          <w:bCs/>
          <w:sz w:val="24"/>
          <w:szCs w:val="24"/>
          <w:lang w:val="en-US" w:eastAsia="en-GB"/>
        </w:rPr>
      </w:pPr>
      <w:r w:rsidRPr="00113AF2">
        <w:rPr>
          <w:rFonts w:asciiTheme="minorHAnsi" w:eastAsia="Times New Roman" w:hAnsiTheme="minorHAnsi" w:cstheme="minorHAnsi"/>
          <w:bCs/>
          <w:sz w:val="24"/>
          <w:szCs w:val="24"/>
          <w:lang w:val="en" w:eastAsia="en-GB"/>
        </w:rPr>
        <w:t>The difference between these two categories of actors is that only certified social secretariats can collect social contributions from affiliated employers and then pay them to the institutions responsible for collecting social security contributions (mainly the NSSO). The NSSO must be informed of this mandate by means of a document ("proxy").</w:t>
      </w:r>
    </w:p>
    <w:p w14:paraId="0098FA97" w14:textId="77777777" w:rsidR="008D7638" w:rsidRPr="00AF144C" w:rsidRDefault="008D7638" w:rsidP="008D7638">
      <w:pPr>
        <w:spacing w:after="0" w:line="240" w:lineRule="atLeast"/>
        <w:jc w:val="both"/>
        <w:rPr>
          <w:rFonts w:asciiTheme="minorHAnsi" w:eastAsia="Times New Roman" w:hAnsiTheme="minorHAnsi" w:cstheme="minorHAnsi"/>
          <w:bCs/>
          <w:i/>
          <w:sz w:val="24"/>
          <w:szCs w:val="24"/>
          <w:lang w:val="en-US" w:eastAsia="en-GB"/>
        </w:rPr>
      </w:pPr>
    </w:p>
    <w:p w14:paraId="07D22117" w14:textId="77777777" w:rsidR="008D7638" w:rsidRPr="00AF144C" w:rsidRDefault="008D7638" w:rsidP="008D7638">
      <w:pPr>
        <w:spacing w:after="0" w:line="240" w:lineRule="atLeast"/>
        <w:jc w:val="both"/>
        <w:rPr>
          <w:rFonts w:asciiTheme="minorHAnsi" w:eastAsia="Times New Roman" w:hAnsiTheme="minorHAnsi" w:cstheme="minorHAnsi"/>
          <w:bCs/>
          <w:i/>
          <w:sz w:val="24"/>
          <w:szCs w:val="24"/>
          <w:lang w:val="en-US" w:eastAsia="en-GB"/>
        </w:rPr>
      </w:pPr>
      <w:r w:rsidRPr="00113AF2">
        <w:rPr>
          <w:rFonts w:asciiTheme="minorHAnsi" w:eastAsia="Times New Roman" w:hAnsiTheme="minorHAnsi" w:cstheme="minorHAnsi"/>
          <w:bCs/>
          <w:i/>
          <w:sz w:val="24"/>
          <w:szCs w:val="24"/>
          <w:lang w:val="en" w:eastAsia="en-GB"/>
        </w:rPr>
        <w:t>Private bodies</w:t>
      </w:r>
    </w:p>
    <w:p w14:paraId="234C259B" w14:textId="77777777" w:rsidR="008D7638" w:rsidRPr="00AF144C" w:rsidRDefault="008D7638" w:rsidP="008D7638">
      <w:pPr>
        <w:spacing w:after="0" w:line="240" w:lineRule="atLeast"/>
        <w:jc w:val="both"/>
        <w:rPr>
          <w:rFonts w:asciiTheme="minorHAnsi" w:eastAsia="Times New Roman" w:hAnsiTheme="minorHAnsi" w:cstheme="minorHAnsi"/>
          <w:bCs/>
          <w:sz w:val="24"/>
          <w:szCs w:val="24"/>
          <w:lang w:val="en-US" w:eastAsia="en-GB"/>
        </w:rPr>
      </w:pPr>
    </w:p>
    <w:p w14:paraId="3B4B7DC5" w14:textId="26B8E91C" w:rsidR="008D7638" w:rsidRPr="00AF144C" w:rsidRDefault="008D7638" w:rsidP="008D7638">
      <w:pPr>
        <w:spacing w:after="0" w:line="240" w:lineRule="atLeast"/>
        <w:jc w:val="both"/>
        <w:rPr>
          <w:rFonts w:asciiTheme="minorHAnsi" w:eastAsia="Times New Roman" w:hAnsiTheme="minorHAnsi" w:cstheme="minorHAnsi"/>
          <w:bCs/>
          <w:sz w:val="24"/>
          <w:szCs w:val="24"/>
          <w:lang w:val="en-US" w:eastAsia="en-GB"/>
        </w:rPr>
      </w:pPr>
      <w:r w:rsidRPr="00113AF2">
        <w:rPr>
          <w:rFonts w:asciiTheme="minorHAnsi" w:eastAsia="Times New Roman" w:hAnsiTheme="minorHAnsi" w:cstheme="minorHAnsi"/>
          <w:bCs/>
          <w:sz w:val="24"/>
          <w:szCs w:val="24"/>
          <w:lang w:val="en" w:eastAsia="en-GB"/>
        </w:rPr>
        <w:t xml:space="preserve">Certified social service providers and social secretariats are all private service providers. Their services are paid for by the employer-customer.  </w:t>
      </w:r>
    </w:p>
    <w:p w14:paraId="5A24B137" w14:textId="77777777" w:rsidR="00392178" w:rsidRPr="00AF144C" w:rsidRDefault="00392178" w:rsidP="008D7638">
      <w:pPr>
        <w:spacing w:after="0" w:line="240" w:lineRule="atLeast"/>
        <w:jc w:val="both"/>
        <w:rPr>
          <w:rFonts w:asciiTheme="minorHAnsi" w:eastAsia="Times New Roman" w:hAnsiTheme="minorHAnsi" w:cstheme="minorHAnsi"/>
          <w:bCs/>
          <w:sz w:val="24"/>
          <w:szCs w:val="24"/>
          <w:lang w:val="en-US" w:eastAsia="en-GB"/>
        </w:rPr>
      </w:pPr>
    </w:p>
    <w:p w14:paraId="4CAF6771" w14:textId="77777777" w:rsidR="008D7638" w:rsidRPr="00AF144C" w:rsidRDefault="008D7638" w:rsidP="008D7638">
      <w:pPr>
        <w:spacing w:after="0" w:line="240" w:lineRule="atLeast"/>
        <w:jc w:val="both"/>
        <w:rPr>
          <w:rFonts w:asciiTheme="minorHAnsi" w:eastAsia="Times New Roman" w:hAnsiTheme="minorHAnsi" w:cstheme="minorHAnsi"/>
          <w:bCs/>
          <w:i/>
          <w:sz w:val="24"/>
          <w:szCs w:val="24"/>
          <w:lang w:val="en-US" w:eastAsia="en-GB"/>
        </w:rPr>
      </w:pPr>
      <w:r w:rsidRPr="00113AF2">
        <w:rPr>
          <w:rFonts w:asciiTheme="minorHAnsi" w:eastAsia="Times New Roman" w:hAnsiTheme="minorHAnsi" w:cstheme="minorHAnsi"/>
          <w:bCs/>
          <w:i/>
          <w:sz w:val="24"/>
          <w:szCs w:val="24"/>
          <w:lang w:val="en" w:eastAsia="en-GB"/>
        </w:rPr>
        <w:t>Written mandate</w:t>
      </w:r>
    </w:p>
    <w:p w14:paraId="00203970" w14:textId="77777777" w:rsidR="008D7638" w:rsidRPr="00AF144C" w:rsidRDefault="008D7638" w:rsidP="008D7638">
      <w:pPr>
        <w:spacing w:after="0" w:line="240" w:lineRule="atLeast"/>
        <w:jc w:val="both"/>
        <w:rPr>
          <w:rFonts w:asciiTheme="minorHAnsi" w:eastAsia="Times New Roman" w:hAnsiTheme="minorHAnsi" w:cstheme="minorHAnsi"/>
          <w:bCs/>
          <w:sz w:val="24"/>
          <w:szCs w:val="24"/>
          <w:lang w:val="en-US" w:eastAsia="en-GB"/>
        </w:rPr>
      </w:pPr>
    </w:p>
    <w:p w14:paraId="6F4839ED" w14:textId="1ED3954A" w:rsidR="00392178" w:rsidRPr="00AF144C" w:rsidRDefault="00392178" w:rsidP="002244B4">
      <w:pPr>
        <w:spacing w:after="0" w:line="240" w:lineRule="auto"/>
        <w:jc w:val="both"/>
        <w:rPr>
          <w:rFonts w:asciiTheme="minorHAnsi" w:eastAsia="Times New Roman" w:hAnsiTheme="minorHAnsi" w:cstheme="minorHAnsi"/>
          <w:b/>
          <w:bCs/>
          <w:sz w:val="24"/>
          <w:szCs w:val="24"/>
          <w:lang w:val="en-US" w:eastAsia="en-GB"/>
        </w:rPr>
      </w:pPr>
      <w:r w:rsidRPr="00113AF2">
        <w:rPr>
          <w:rFonts w:asciiTheme="minorHAnsi" w:eastAsia="Times New Roman" w:hAnsiTheme="minorHAnsi" w:cstheme="minorHAnsi"/>
          <w:sz w:val="24"/>
          <w:szCs w:val="24"/>
          <w:lang w:val="en" w:eastAsia="en-GB"/>
        </w:rPr>
        <w:t xml:space="preserve">The Belgian legislation requires that the role and mission of the representative be specified in a written contract concluded between the representative and the employer. </w:t>
      </w:r>
    </w:p>
    <w:p w14:paraId="40E33ACD" w14:textId="77777777" w:rsidR="00392178" w:rsidRPr="00AF144C" w:rsidRDefault="00392178" w:rsidP="002244B4">
      <w:pPr>
        <w:spacing w:after="0" w:line="240" w:lineRule="auto"/>
        <w:jc w:val="both"/>
        <w:rPr>
          <w:rFonts w:asciiTheme="minorHAnsi" w:eastAsia="Times New Roman" w:hAnsiTheme="minorHAnsi" w:cstheme="minorHAnsi"/>
          <w:bCs/>
          <w:sz w:val="24"/>
          <w:szCs w:val="24"/>
          <w:lang w:val="en-US" w:eastAsia="en-GB"/>
        </w:rPr>
      </w:pPr>
    </w:p>
    <w:p w14:paraId="6447EEFF" w14:textId="77777777" w:rsidR="00305E60" w:rsidRDefault="00392178" w:rsidP="002244B4">
      <w:pPr>
        <w:spacing w:after="0" w:line="240" w:lineRule="auto"/>
        <w:jc w:val="both"/>
        <w:rPr>
          <w:rFonts w:asciiTheme="minorHAnsi" w:eastAsia="Times New Roman" w:hAnsiTheme="minorHAnsi" w:cstheme="minorHAnsi"/>
          <w:sz w:val="24"/>
          <w:szCs w:val="24"/>
          <w:lang w:val="en" w:eastAsia="en-GB"/>
        </w:rPr>
      </w:pPr>
      <w:r w:rsidRPr="00113AF2">
        <w:rPr>
          <w:rFonts w:asciiTheme="minorHAnsi" w:eastAsia="Times New Roman" w:hAnsiTheme="minorHAnsi" w:cstheme="minorHAnsi"/>
          <w:sz w:val="24"/>
          <w:szCs w:val="24"/>
          <w:lang w:val="en" w:eastAsia="en-GB"/>
        </w:rPr>
        <w:t>If the employer uses a certified social secretariat to submit his/her tax returns, he/she must provide it with all the correct and complete information to enable it to carry out the agreed mandate within the legal deadlines.</w:t>
      </w:r>
    </w:p>
    <w:p w14:paraId="68539C84" w14:textId="36A8867A" w:rsidR="00945CD8" w:rsidRPr="00AF144C" w:rsidRDefault="00945CD8" w:rsidP="002244B4">
      <w:pPr>
        <w:spacing w:after="0" w:line="240" w:lineRule="auto"/>
        <w:jc w:val="both"/>
        <w:rPr>
          <w:rFonts w:asciiTheme="minorHAnsi" w:eastAsia="Times New Roman" w:hAnsiTheme="minorHAnsi" w:cstheme="minorHAnsi"/>
          <w:sz w:val="24"/>
          <w:szCs w:val="24"/>
          <w:highlight w:val="yellow"/>
          <w:lang w:val="en-US" w:eastAsia="en-GB"/>
        </w:rPr>
      </w:pPr>
    </w:p>
    <w:p w14:paraId="6AA8702F" w14:textId="589CD65E" w:rsidR="00945CD8" w:rsidRPr="00AF144C" w:rsidRDefault="00945CD8" w:rsidP="002244B4">
      <w:pPr>
        <w:spacing w:after="0" w:line="240" w:lineRule="auto"/>
        <w:ind w:right="-2"/>
        <w:jc w:val="both"/>
        <w:rPr>
          <w:rFonts w:asciiTheme="minorHAnsi" w:eastAsia="Times New Roman" w:hAnsiTheme="minorHAnsi" w:cstheme="minorHAnsi"/>
          <w:sz w:val="24"/>
          <w:szCs w:val="24"/>
          <w:lang w:val="en-US"/>
        </w:rPr>
      </w:pPr>
    </w:p>
    <w:p w14:paraId="13D8B08A" w14:textId="1D7B0577" w:rsidR="002244B4" w:rsidRPr="00AF144C" w:rsidRDefault="002244B4" w:rsidP="002244B4">
      <w:pPr>
        <w:spacing w:after="0" w:line="240" w:lineRule="auto"/>
        <w:ind w:right="-2"/>
        <w:jc w:val="both"/>
        <w:rPr>
          <w:rFonts w:asciiTheme="minorHAnsi" w:eastAsia="Times New Roman" w:hAnsiTheme="minorHAnsi" w:cstheme="minorHAnsi"/>
          <w:i/>
          <w:sz w:val="24"/>
          <w:szCs w:val="24"/>
          <w:lang w:val="en-US"/>
        </w:rPr>
      </w:pPr>
      <w:r w:rsidRPr="00113AF2">
        <w:rPr>
          <w:rFonts w:asciiTheme="minorHAnsi" w:eastAsia="Times New Roman" w:hAnsiTheme="minorHAnsi" w:cstheme="minorHAnsi"/>
          <w:i/>
          <w:sz w:val="24"/>
          <w:szCs w:val="24"/>
          <w:lang w:val="en"/>
        </w:rPr>
        <w:t>Responsibility of the employer</w:t>
      </w:r>
    </w:p>
    <w:p w14:paraId="34FFF083" w14:textId="77777777" w:rsidR="002244B4" w:rsidRPr="00AF144C" w:rsidRDefault="002244B4" w:rsidP="002244B4">
      <w:pPr>
        <w:spacing w:after="0" w:line="240" w:lineRule="auto"/>
        <w:ind w:right="-2"/>
        <w:jc w:val="both"/>
        <w:rPr>
          <w:rFonts w:asciiTheme="minorHAnsi" w:eastAsia="Times New Roman" w:hAnsiTheme="minorHAnsi" w:cstheme="minorHAnsi"/>
          <w:sz w:val="24"/>
          <w:szCs w:val="24"/>
          <w:lang w:val="en-US"/>
        </w:rPr>
      </w:pPr>
    </w:p>
    <w:p w14:paraId="5AE49B0E" w14:textId="7A3BC7FD" w:rsidR="00020C0E" w:rsidRPr="00AF144C" w:rsidRDefault="00020C0E" w:rsidP="002244B4">
      <w:pPr>
        <w:autoSpaceDE w:val="0"/>
        <w:autoSpaceDN w:val="0"/>
        <w:adjustRightInd w:val="0"/>
        <w:spacing w:after="0" w:line="240" w:lineRule="auto"/>
        <w:jc w:val="both"/>
        <w:rPr>
          <w:rFonts w:asciiTheme="minorHAnsi" w:eastAsia="Times New Roman" w:hAnsiTheme="minorHAnsi" w:cstheme="minorHAnsi"/>
          <w:sz w:val="24"/>
          <w:szCs w:val="24"/>
          <w:lang w:val="en-US" w:eastAsia="en-GB"/>
        </w:rPr>
      </w:pPr>
      <w:r w:rsidRPr="00113AF2">
        <w:rPr>
          <w:rFonts w:asciiTheme="minorHAnsi" w:eastAsia="Times New Roman" w:hAnsiTheme="minorHAnsi" w:cstheme="minorHAnsi"/>
          <w:sz w:val="24"/>
          <w:szCs w:val="24"/>
          <w:lang w:val="en" w:eastAsia="en-GB"/>
        </w:rPr>
        <w:t>However, the employer remains responsible for the proper performance of social security formalities. When an employer's obligations towards a social security institution are not fulfilled on time or are not performed correctly or completely, the social security institutions will address the employer and not his/her representative.</w:t>
      </w:r>
    </w:p>
    <w:p w14:paraId="2D8D8A6C" w14:textId="77777777" w:rsidR="002244B4" w:rsidRPr="00AF144C" w:rsidRDefault="002244B4" w:rsidP="002244B4">
      <w:pPr>
        <w:autoSpaceDE w:val="0"/>
        <w:autoSpaceDN w:val="0"/>
        <w:adjustRightInd w:val="0"/>
        <w:spacing w:after="0" w:line="240" w:lineRule="auto"/>
        <w:jc w:val="both"/>
        <w:rPr>
          <w:rFonts w:asciiTheme="minorHAnsi" w:eastAsia="Times New Roman" w:hAnsiTheme="minorHAnsi" w:cstheme="minorHAnsi"/>
          <w:sz w:val="24"/>
          <w:szCs w:val="24"/>
          <w:lang w:val="en-US" w:eastAsia="en-GB"/>
        </w:rPr>
      </w:pPr>
    </w:p>
    <w:p w14:paraId="0F1D5C14" w14:textId="18E7EDCD" w:rsidR="00020C0E" w:rsidRPr="00AF144C" w:rsidRDefault="00020C0E"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en-US" w:eastAsia="en-GB"/>
        </w:rPr>
      </w:pPr>
      <w:r w:rsidRPr="00113AF2">
        <w:rPr>
          <w:rFonts w:asciiTheme="minorHAnsi" w:eastAsia="Times New Roman" w:hAnsiTheme="minorHAnsi" w:cstheme="minorHAnsi"/>
          <w:sz w:val="24"/>
          <w:szCs w:val="24"/>
          <w:lang w:val="en" w:eastAsia="en-GB"/>
        </w:rPr>
        <w:t xml:space="preserve">If the appointed representative does not properly carry out </w:t>
      </w:r>
      <w:r w:rsidR="00305E60">
        <w:rPr>
          <w:rFonts w:asciiTheme="minorHAnsi" w:eastAsia="Times New Roman" w:hAnsiTheme="minorHAnsi" w:cstheme="minorHAnsi"/>
          <w:sz w:val="24"/>
          <w:szCs w:val="24"/>
          <w:lang w:val="en" w:eastAsia="en-GB"/>
        </w:rPr>
        <w:t>his/her</w:t>
      </w:r>
      <w:r w:rsidRPr="00113AF2">
        <w:rPr>
          <w:rFonts w:asciiTheme="minorHAnsi" w:eastAsia="Times New Roman" w:hAnsiTheme="minorHAnsi" w:cstheme="minorHAnsi"/>
          <w:sz w:val="24"/>
          <w:szCs w:val="24"/>
          <w:lang w:val="en" w:eastAsia="en-GB"/>
        </w:rPr>
        <w:t xml:space="preserve"> obligations, the employer is entitled to pursue remedies against the representative if the latter made a mistake. </w:t>
      </w:r>
      <w:r w:rsidR="00EF777E">
        <w:rPr>
          <w:rFonts w:asciiTheme="minorHAnsi" w:eastAsia="Times New Roman" w:hAnsiTheme="minorHAnsi" w:cstheme="minorHAnsi"/>
          <w:sz w:val="24"/>
          <w:szCs w:val="24"/>
          <w:highlight w:val="yellow"/>
          <w:lang w:val="en" w:eastAsia="en-GB"/>
        </w:rPr>
        <w:t xml:space="preserve"> </w:t>
      </w:r>
    </w:p>
    <w:p w14:paraId="420ECBEE" w14:textId="77777777" w:rsidR="002E07ED" w:rsidRPr="00AF144C" w:rsidRDefault="002E07ED"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en-US" w:eastAsia="en-GB"/>
        </w:rPr>
      </w:pPr>
    </w:p>
    <w:p w14:paraId="3F508D8E" w14:textId="6956528B" w:rsidR="00393867" w:rsidRPr="00AF144C" w:rsidRDefault="00601FDF" w:rsidP="008D7638">
      <w:pPr>
        <w:rPr>
          <w:rFonts w:asciiTheme="minorHAnsi" w:hAnsiTheme="minorHAnsi" w:cstheme="minorHAnsi"/>
          <w:sz w:val="24"/>
          <w:szCs w:val="24"/>
          <w:lang w:val="en-US"/>
        </w:rPr>
      </w:pPr>
      <w:r w:rsidRPr="00601FDF">
        <w:rPr>
          <w:rFonts w:asciiTheme="minorHAnsi" w:hAnsiTheme="minorHAnsi" w:cstheme="minorHAnsi"/>
          <w:sz w:val="24"/>
          <w:szCs w:val="24"/>
          <w:lang w:val="en"/>
        </w:rPr>
        <w:t xml:space="preserve">A list of certified social secretariats and their contact details is available at the following address: </w:t>
      </w:r>
      <w:hyperlink r:id="rId7" w:history="1">
        <w:r w:rsidRPr="004B7441">
          <w:rPr>
            <w:rStyle w:val="Lienhypertexte"/>
            <w:rFonts w:asciiTheme="minorHAnsi" w:hAnsiTheme="minorHAnsi" w:cstheme="minorHAnsi"/>
            <w:sz w:val="24"/>
            <w:szCs w:val="24"/>
            <w:lang w:val="en"/>
          </w:rPr>
          <w:t>https://socialsecurity.belgium.be/fr/liens-belges</w:t>
        </w:r>
      </w:hyperlink>
      <w:r>
        <w:rPr>
          <w:rFonts w:asciiTheme="minorHAnsi" w:hAnsiTheme="minorHAnsi" w:cstheme="minorHAnsi"/>
          <w:sz w:val="24"/>
          <w:szCs w:val="24"/>
          <w:lang w:val="en"/>
        </w:rPr>
        <w:t xml:space="preserve"> </w:t>
      </w:r>
    </w:p>
    <w:sectPr w:rsidR="00393867" w:rsidRPr="00AF144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7DDF" w14:textId="77777777" w:rsidR="00604947" w:rsidRDefault="00604947" w:rsidP="00392178">
      <w:pPr>
        <w:spacing w:after="0" w:line="240" w:lineRule="auto"/>
      </w:pPr>
      <w:r>
        <w:separator/>
      </w:r>
    </w:p>
  </w:endnote>
  <w:endnote w:type="continuationSeparator" w:id="0">
    <w:p w14:paraId="4972BB7C" w14:textId="77777777" w:rsidR="00604947" w:rsidRDefault="00604947" w:rsidP="0039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61598"/>
      <w:docPartObj>
        <w:docPartGallery w:val="Page Numbers (Bottom of Page)"/>
        <w:docPartUnique/>
      </w:docPartObj>
    </w:sdtPr>
    <w:sdtEndPr/>
    <w:sdtContent>
      <w:p w14:paraId="1D8EC6DA" w14:textId="11FF0491" w:rsidR="002244B4" w:rsidRDefault="002244B4">
        <w:pPr>
          <w:pStyle w:val="Pieddepage"/>
          <w:jc w:val="right"/>
        </w:pPr>
        <w:r>
          <w:fldChar w:fldCharType="begin"/>
        </w:r>
        <w:r>
          <w:instrText>PAGE   \* MERGEFORMAT</w:instrText>
        </w:r>
        <w:r>
          <w:fldChar w:fldCharType="separate"/>
        </w:r>
        <w:r>
          <w:rPr>
            <w:lang w:val="fr-FR"/>
          </w:rPr>
          <w:t>2</w:t>
        </w:r>
        <w:r>
          <w:fldChar w:fldCharType="end"/>
        </w:r>
      </w:p>
    </w:sdtContent>
  </w:sdt>
  <w:p w14:paraId="3E0F33B2" w14:textId="77777777" w:rsidR="002244B4" w:rsidRDefault="00224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BF89B" w14:textId="77777777" w:rsidR="00604947" w:rsidRDefault="00604947" w:rsidP="00392178">
      <w:pPr>
        <w:spacing w:after="0" w:line="240" w:lineRule="auto"/>
      </w:pPr>
      <w:r>
        <w:separator/>
      </w:r>
    </w:p>
  </w:footnote>
  <w:footnote w:type="continuationSeparator" w:id="0">
    <w:p w14:paraId="128A5D56" w14:textId="77777777" w:rsidR="00604947" w:rsidRDefault="00604947" w:rsidP="0039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67587"/>
    <w:multiLevelType w:val="hybridMultilevel"/>
    <w:tmpl w:val="23640E76"/>
    <w:lvl w:ilvl="0" w:tplc="4E3846AE">
      <w:start w:val="1"/>
      <w:numFmt w:val="bullet"/>
      <w:lvlText w:val="-"/>
      <w:lvlJc w:val="left"/>
      <w:pPr>
        <w:tabs>
          <w:tab w:val="num" w:pos="915"/>
        </w:tabs>
        <w:ind w:left="915" w:hanging="360"/>
      </w:pPr>
      <w:rPr>
        <w:rFonts w:ascii="Times New Roman" w:hAnsi="Times New Roman" w:cs="Times New Roman"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1" w15:restartNumberingAfterBreak="0">
    <w:nsid w:val="72F610CC"/>
    <w:multiLevelType w:val="hybridMultilevel"/>
    <w:tmpl w:val="28209A38"/>
    <w:lvl w:ilvl="0" w:tplc="4E3846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8"/>
    <w:rsid w:val="00020C0E"/>
    <w:rsid w:val="0003287D"/>
    <w:rsid w:val="00113AF2"/>
    <w:rsid w:val="00191E83"/>
    <w:rsid w:val="002244B4"/>
    <w:rsid w:val="00243C1F"/>
    <w:rsid w:val="002D30F3"/>
    <w:rsid w:val="002E07ED"/>
    <w:rsid w:val="00305E60"/>
    <w:rsid w:val="00392178"/>
    <w:rsid w:val="00393867"/>
    <w:rsid w:val="0058746C"/>
    <w:rsid w:val="00601FDF"/>
    <w:rsid w:val="00604947"/>
    <w:rsid w:val="008D7638"/>
    <w:rsid w:val="00945CD8"/>
    <w:rsid w:val="00A757AD"/>
    <w:rsid w:val="00AF144C"/>
    <w:rsid w:val="00B6368F"/>
    <w:rsid w:val="00BC6BFF"/>
    <w:rsid w:val="00BE6E9A"/>
    <w:rsid w:val="00C93E33"/>
    <w:rsid w:val="00CE0061"/>
    <w:rsid w:val="00D0764B"/>
    <w:rsid w:val="00E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F58"/>
  <w15:chartTrackingRefBased/>
  <w15:docId w15:val="{E5176B70-7500-4B27-A07F-45A9F90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178"/>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Note de bas de page Car Car Car,Note de bas de page Car1 Car15,Note de bas de page Car Car Car15,Note de bas de page Car1 Car15 Car Car,Note de bas de page Car Car Car15 Car Car,fn"/>
    <w:basedOn w:val="Normal"/>
    <w:link w:val="NotedebasdepageCar1"/>
    <w:semiHidden/>
    <w:rsid w:val="00392178"/>
    <w:pPr>
      <w:spacing w:after="0" w:line="240" w:lineRule="auto"/>
    </w:pPr>
    <w:rPr>
      <w:rFonts w:ascii="Times New Roman" w:eastAsia="Times New Roman" w:hAnsi="Times New Roman"/>
      <w:sz w:val="20"/>
      <w:szCs w:val="20"/>
      <w:lang w:eastAsia="en-GB"/>
    </w:rPr>
  </w:style>
  <w:style w:type="character" w:customStyle="1" w:styleId="NotedebasdepageCar">
    <w:name w:val="Note de bas de page Car"/>
    <w:basedOn w:val="Policepardfaut"/>
    <w:uiPriority w:val="99"/>
    <w:semiHidden/>
    <w:rsid w:val="00392178"/>
    <w:rPr>
      <w:rFonts w:ascii="Calibri" w:eastAsia="Calibri" w:hAnsi="Calibri" w:cs="Times New Roman"/>
      <w:sz w:val="20"/>
      <w:szCs w:val="20"/>
      <w:lang w:val="en-GB"/>
    </w:rPr>
  </w:style>
  <w:style w:type="character" w:styleId="Appelnotedebasdep">
    <w:name w:val="footnote reference"/>
    <w:aliases w:val="Appel note de bas de page,callout,Footnote Refernece,Footnotes refss,Footnote Reference Superscript,BVI fnr,Footnote Reference Number, BVI fnr"/>
    <w:semiHidden/>
    <w:rsid w:val="00392178"/>
    <w:rPr>
      <w:vertAlign w:val="superscript"/>
    </w:rPr>
  </w:style>
  <w:style w:type="character" w:customStyle="1" w:styleId="NotedebasdepageCar1">
    <w:name w:val="Note de bas de page Car1"/>
    <w:aliases w:val="Note de bas de page Car Car Car1,Note de bas de page Car Car Car Car,Note de bas de page Car1 Car15 Car,Note de bas de page Car Car Car15 Car,Note de bas de page Car1 Car15 Car Car Car,fn Car"/>
    <w:link w:val="Notedebasdepage"/>
    <w:semiHidden/>
    <w:locked/>
    <w:rsid w:val="00392178"/>
    <w:rPr>
      <w:rFonts w:ascii="Times New Roman" w:eastAsia="Times New Roman" w:hAnsi="Times New Roman" w:cs="Times New Roman"/>
      <w:sz w:val="20"/>
      <w:szCs w:val="20"/>
      <w:lang w:val="en-GB" w:eastAsia="en-GB"/>
    </w:rPr>
  </w:style>
  <w:style w:type="character" w:styleId="Marquedecommentaire">
    <w:name w:val="annotation reference"/>
    <w:basedOn w:val="Policepardfaut"/>
    <w:uiPriority w:val="99"/>
    <w:semiHidden/>
    <w:unhideWhenUsed/>
    <w:rsid w:val="008D7638"/>
    <w:rPr>
      <w:sz w:val="16"/>
      <w:szCs w:val="16"/>
    </w:rPr>
  </w:style>
  <w:style w:type="paragraph" w:styleId="Commentaire">
    <w:name w:val="annotation text"/>
    <w:basedOn w:val="Normal"/>
    <w:link w:val="CommentaireCar"/>
    <w:uiPriority w:val="99"/>
    <w:semiHidden/>
    <w:unhideWhenUsed/>
    <w:rsid w:val="008D7638"/>
    <w:pPr>
      <w:spacing w:line="240" w:lineRule="auto"/>
    </w:pPr>
    <w:rPr>
      <w:sz w:val="20"/>
      <w:szCs w:val="20"/>
    </w:rPr>
  </w:style>
  <w:style w:type="character" w:customStyle="1" w:styleId="CommentaireCar">
    <w:name w:val="Commentaire Car"/>
    <w:basedOn w:val="Policepardfaut"/>
    <w:link w:val="Commentaire"/>
    <w:uiPriority w:val="99"/>
    <w:semiHidden/>
    <w:rsid w:val="008D7638"/>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D7638"/>
    <w:rPr>
      <w:b/>
      <w:bCs/>
    </w:rPr>
  </w:style>
  <w:style w:type="character" w:customStyle="1" w:styleId="ObjetducommentaireCar">
    <w:name w:val="Objet du commentaire Car"/>
    <w:basedOn w:val="CommentaireCar"/>
    <w:link w:val="Objetducommentaire"/>
    <w:uiPriority w:val="99"/>
    <w:semiHidden/>
    <w:rsid w:val="008D7638"/>
    <w:rPr>
      <w:rFonts w:ascii="Calibri" w:eastAsia="Calibri" w:hAnsi="Calibri" w:cs="Times New Roman"/>
      <w:b/>
      <w:bCs/>
      <w:sz w:val="20"/>
      <w:szCs w:val="20"/>
      <w:lang w:val="en-GB"/>
    </w:rPr>
  </w:style>
  <w:style w:type="paragraph" w:styleId="Textedebulles">
    <w:name w:val="Balloon Text"/>
    <w:basedOn w:val="Normal"/>
    <w:link w:val="TextedebullesCar"/>
    <w:uiPriority w:val="99"/>
    <w:semiHidden/>
    <w:unhideWhenUsed/>
    <w:rsid w:val="008D76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638"/>
    <w:rPr>
      <w:rFonts w:ascii="Segoe UI" w:eastAsia="Calibri" w:hAnsi="Segoe UI" w:cs="Segoe UI"/>
      <w:sz w:val="18"/>
      <w:szCs w:val="18"/>
      <w:lang w:val="en-GB"/>
    </w:rPr>
  </w:style>
  <w:style w:type="paragraph" w:styleId="En-tte">
    <w:name w:val="header"/>
    <w:basedOn w:val="Normal"/>
    <w:link w:val="En-tteCar"/>
    <w:uiPriority w:val="99"/>
    <w:unhideWhenUsed/>
    <w:rsid w:val="002244B4"/>
    <w:pPr>
      <w:tabs>
        <w:tab w:val="center" w:pos="4703"/>
        <w:tab w:val="right" w:pos="9406"/>
      </w:tabs>
      <w:spacing w:after="0" w:line="240" w:lineRule="auto"/>
    </w:pPr>
  </w:style>
  <w:style w:type="character" w:customStyle="1" w:styleId="En-tteCar">
    <w:name w:val="En-tête Car"/>
    <w:basedOn w:val="Policepardfaut"/>
    <w:link w:val="En-tte"/>
    <w:uiPriority w:val="99"/>
    <w:rsid w:val="002244B4"/>
    <w:rPr>
      <w:rFonts w:ascii="Calibri" w:eastAsia="Calibri" w:hAnsi="Calibri" w:cs="Times New Roman"/>
      <w:lang w:val="en-GB"/>
    </w:rPr>
  </w:style>
  <w:style w:type="paragraph" w:styleId="Pieddepage">
    <w:name w:val="footer"/>
    <w:basedOn w:val="Normal"/>
    <w:link w:val="PieddepageCar"/>
    <w:uiPriority w:val="99"/>
    <w:unhideWhenUsed/>
    <w:rsid w:val="002244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244B4"/>
    <w:rPr>
      <w:rFonts w:ascii="Calibri" w:eastAsia="Calibri" w:hAnsi="Calibri" w:cs="Times New Roman"/>
      <w:lang w:val="en-GB"/>
    </w:rPr>
  </w:style>
  <w:style w:type="paragraph" w:styleId="Paragraphedeliste">
    <w:name w:val="List Paragraph"/>
    <w:basedOn w:val="Normal"/>
    <w:uiPriority w:val="34"/>
    <w:qFormat/>
    <w:rsid w:val="002E07ED"/>
    <w:pPr>
      <w:ind w:left="720"/>
      <w:contextualSpacing/>
    </w:pPr>
  </w:style>
  <w:style w:type="character" w:styleId="Lienhypertexte">
    <w:name w:val="Hyperlink"/>
    <w:basedOn w:val="Policepardfaut"/>
    <w:uiPriority w:val="99"/>
    <w:unhideWhenUsed/>
    <w:rsid w:val="00601FDF"/>
    <w:rPr>
      <w:color w:val="0563C1" w:themeColor="hyperlink"/>
      <w:u w:val="single"/>
    </w:rPr>
  </w:style>
  <w:style w:type="character" w:styleId="Mentionnonrsolue">
    <w:name w:val="Unresolved Mention"/>
    <w:basedOn w:val="Policepardfaut"/>
    <w:uiPriority w:val="99"/>
    <w:semiHidden/>
    <w:unhideWhenUsed/>
    <w:rsid w:val="00601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cialsecurity.belgium.be/fr/liens-bel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Gratia Marianne</dc:creator>
  <cp:keywords/>
  <dc:description/>
  <cp:lastModifiedBy>Audrey Pirenne (FOD Werkgelegenheid - SPF Emploi)</cp:lastModifiedBy>
  <cp:revision>2</cp:revision>
  <cp:lastPrinted>2019-09-03T09:06:00Z</cp:lastPrinted>
  <dcterms:created xsi:type="dcterms:W3CDTF">2019-09-20T08:00:00Z</dcterms:created>
  <dcterms:modified xsi:type="dcterms:W3CDTF">2019-09-20T08:00:00Z</dcterms:modified>
</cp:coreProperties>
</file>